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F67" w14:textId="77777777" w:rsidR="00C45F4A" w:rsidRDefault="00000000">
      <w:pPr>
        <w:spacing w:after="20"/>
        <w:jc w:val="center"/>
      </w:pPr>
      <w:r>
        <w:rPr>
          <w:b/>
          <w:bCs/>
          <w:sz w:val="36"/>
          <w:szCs w:val="36"/>
        </w:rPr>
        <w:t>Tim Presley</w:t>
      </w:r>
    </w:p>
    <w:p w14:paraId="00D97541" w14:textId="77777777" w:rsidR="00C45F4A" w:rsidRDefault="00000000">
      <w:pPr>
        <w:spacing w:after="40"/>
        <w:jc w:val="center"/>
      </w:pPr>
      <w:r>
        <w:rPr>
          <w:b/>
          <w:bCs/>
          <w:sz w:val="22"/>
          <w:szCs w:val="22"/>
        </w:rPr>
        <w:t>Head of User Experience | Enterprise UX Leadership &amp; AI-Enabled Design Operations</w:t>
      </w:r>
    </w:p>
    <w:p w14:paraId="3173E221" w14:textId="0F74B0B5" w:rsidR="00C45F4A" w:rsidRDefault="00000000">
      <w:pPr>
        <w:spacing w:after="60"/>
        <w:jc w:val="center"/>
      </w:pPr>
      <w:r>
        <w:t xml:space="preserve">Houston, TX | 210-834-9510 | </w:t>
      </w:r>
      <w:hyperlink r:id="rId5" w:history="1">
        <w:r w:rsidR="00C45F4A" w:rsidRPr="00391998">
          <w:rPr>
            <w:rStyle w:val="Hyperlink"/>
          </w:rPr>
          <w:t>tpresley1764@gmail.com</w:t>
        </w:r>
      </w:hyperlink>
      <w:r>
        <w:t xml:space="preserve"> | </w:t>
      </w:r>
      <w:hyperlink r:id="rId6" w:history="1">
        <w:r w:rsidR="00C45F4A" w:rsidRPr="00391998">
          <w:rPr>
            <w:rStyle w:val="Hyperlink"/>
          </w:rPr>
          <w:t>linkedin.com/in/tim-presley-6a133514</w:t>
        </w:r>
      </w:hyperlink>
      <w:r>
        <w:t xml:space="preserve"> | </w:t>
      </w:r>
      <w:hyperlink r:id="rId7" w:history="1">
        <w:r w:rsidR="00C45F4A" w:rsidRPr="00391998">
          <w:rPr>
            <w:rStyle w:val="Hyperlink"/>
          </w:rPr>
          <w:t>timpresleyux.com</w:t>
        </w:r>
      </w:hyperlink>
      <w:r w:rsidR="00A31638">
        <w:t xml:space="preserve"> </w:t>
      </w:r>
    </w:p>
    <w:p w14:paraId="45B6E993" w14:textId="77777777" w:rsidR="00C45F4A" w:rsidRDefault="00000000">
      <w:pPr>
        <w:pBdr>
          <w:bottom w:val="single" w:sz="6" w:space="1" w:color="444444"/>
        </w:pBdr>
        <w:spacing w:before="150" w:after="60"/>
      </w:pPr>
      <w:r>
        <w:rPr>
          <w:b/>
          <w:bCs/>
          <w:sz w:val="22"/>
          <w:szCs w:val="22"/>
        </w:rPr>
        <w:t>PROFESSIONAL SUMMARY</w:t>
      </w:r>
    </w:p>
    <w:p w14:paraId="152B8CBA" w14:textId="77777777" w:rsidR="00C45F4A" w:rsidRDefault="00000000">
      <w:pPr>
        <w:spacing w:after="60"/>
      </w:pPr>
      <w:r>
        <w:t>Design leader for complex enterprise software, managing a global team of up to 26 designers and 4 UI developers at peak across five product domains. Builds AI-enabled design workflows that cut discovery time 45%, design time 30%, and handoff time 60% across 14 engineering teams, and leads design of AI-assisted product features for rig document search, risk evaluation, and 2D and 3D model analysis. Defines the UX operating model, from research methodology to development handoff, and works directly with VP-, director-, and executive-level product and engineering leaders to set roadmap direction. Cut design-to-development churn 25-40% by standardizing UX practice across a multi-product portfolio. Carries one UX vision for unified, system-driven product experiences across business lines.</w:t>
      </w:r>
    </w:p>
    <w:p w14:paraId="42C26EF9" w14:textId="77777777" w:rsidR="00C45F4A" w:rsidRDefault="00000000">
      <w:pPr>
        <w:pBdr>
          <w:bottom w:val="single" w:sz="6" w:space="1" w:color="444444"/>
        </w:pBdr>
        <w:spacing w:before="150" w:after="60"/>
      </w:pPr>
      <w:r>
        <w:rPr>
          <w:b/>
          <w:bCs/>
          <w:sz w:val="22"/>
          <w:szCs w:val="22"/>
        </w:rPr>
        <w:t>CORE COMPETENCIES</w:t>
      </w:r>
    </w:p>
    <w:p w14:paraId="38281129" w14:textId="77777777" w:rsidR="00C45F4A" w:rsidRDefault="00000000">
      <w:pPr>
        <w:spacing w:after="60"/>
      </w:pPr>
      <w:r>
        <w:t>UX Leadership &amp; Org Development • Talent Development &amp; Mentorship • UX Strategy &amp; Roadmap Influence • AI-Enabled Design Operations • Cross-Functional &amp; Executive Partnership • UX Research Methodology • Enterprise Design Systems • Design Governance • Accessibility (WCAG) • Agile / Lean Delivery</w:t>
      </w:r>
    </w:p>
    <w:p w14:paraId="74272F67" w14:textId="77777777" w:rsidR="00C45F4A" w:rsidRDefault="00000000">
      <w:pPr>
        <w:pBdr>
          <w:bottom w:val="single" w:sz="6" w:space="1" w:color="444444"/>
        </w:pBdr>
        <w:spacing w:before="150" w:after="60"/>
      </w:pPr>
      <w:r>
        <w:rPr>
          <w:b/>
          <w:bCs/>
          <w:sz w:val="22"/>
          <w:szCs w:val="22"/>
        </w:rPr>
        <w:t>PROFESSIONAL EXPERIENCE</w:t>
      </w:r>
    </w:p>
    <w:p w14:paraId="1E5276A2" w14:textId="77777777" w:rsidR="00C45F4A" w:rsidRDefault="00000000">
      <w:pPr>
        <w:keepNext/>
        <w:spacing w:before="100"/>
      </w:pPr>
      <w:r>
        <w:rPr>
          <w:b/>
          <w:bCs/>
          <w:sz w:val="22"/>
          <w:szCs w:val="22"/>
        </w:rPr>
        <w:t>Head of User Experience</w:t>
      </w:r>
    </w:p>
    <w:p w14:paraId="5C9DF433" w14:textId="41D1921E" w:rsidR="00C45F4A" w:rsidRDefault="00000000">
      <w:pPr>
        <w:keepNext/>
        <w:spacing w:after="60"/>
      </w:pPr>
      <w:r>
        <w:rPr>
          <w:i/>
          <w:iCs/>
        </w:rPr>
        <w:t xml:space="preserve">Halliburton Sperry Drilling | Houston, TX | Oct 2024 </w:t>
      </w:r>
      <w:r w:rsidR="006F17C8">
        <w:rPr>
          <w:i/>
          <w:iCs/>
        </w:rPr>
        <w:t>–</w:t>
      </w:r>
      <w:r>
        <w:rPr>
          <w:i/>
          <w:iCs/>
        </w:rPr>
        <w:t xml:space="preserve"> </w:t>
      </w:r>
      <w:r w:rsidR="006F17C8">
        <w:rPr>
          <w:i/>
          <w:iCs/>
        </w:rPr>
        <w:t>Aug 2026</w:t>
      </w:r>
    </w:p>
    <w:p w14:paraId="32AE3014" w14:textId="77777777" w:rsidR="00C45F4A" w:rsidRDefault="00000000">
      <w:pPr>
        <w:pStyle w:val="ListParagraph"/>
        <w:numPr>
          <w:ilvl w:val="0"/>
          <w:numId w:val="2"/>
        </w:numPr>
        <w:spacing w:after="35"/>
      </w:pPr>
      <w:r>
        <w:t>Set UX direction and led a team of Lead and Principal designers across the Digital Drilling Portfolio, a global suite of real-time drilling and geosteering software (LOGIX, MaxReceiver, RoxC, Auto Geosteering, Design of Service) used in high-stakes field operations.</w:t>
      </w:r>
    </w:p>
    <w:p w14:paraId="5F774A27" w14:textId="77777777" w:rsidR="00C45F4A" w:rsidRDefault="00000000">
      <w:pPr>
        <w:pStyle w:val="ListParagraph"/>
        <w:numPr>
          <w:ilvl w:val="0"/>
          <w:numId w:val="2"/>
        </w:numPr>
        <w:spacing w:after="35"/>
      </w:pPr>
      <w:r>
        <w:t>Built a UX operating model where none existed, replacing ad hoc, per-team designer hiring with standardized research methodology, intake, design QA, and design-to-development handoff, so teams work from one process and one set of research standards.</w:t>
      </w:r>
    </w:p>
    <w:p w14:paraId="7E64A0AB" w14:textId="77777777" w:rsidR="00C45F4A" w:rsidRDefault="00000000">
      <w:pPr>
        <w:pStyle w:val="ListParagraph"/>
        <w:numPr>
          <w:ilvl w:val="0"/>
          <w:numId w:val="2"/>
        </w:numPr>
        <w:spacing w:after="35"/>
      </w:pPr>
      <w:r>
        <w:t>Cut discovery time 45%, design time 30%, and design-to-development handoff time 60% across 14 engineering teams by building two AI-powered tools: an internal design-system assistant that gives designers and engineers instant answers on components and standards, and an AI-assisted handoff that turns finished designs into starter code.</w:t>
      </w:r>
    </w:p>
    <w:p w14:paraId="7574AC8A" w14:textId="77777777" w:rsidR="00C45F4A" w:rsidRDefault="00000000">
      <w:pPr>
        <w:pStyle w:val="ListParagraph"/>
        <w:numPr>
          <w:ilvl w:val="0"/>
          <w:numId w:val="2"/>
        </w:numPr>
        <w:spacing w:after="35"/>
      </w:pPr>
      <w:r>
        <w:t>Brought AI into end-user products by leading design of AI-assisted features across the portfolio, including rig document loading and search, risk evaluation and outcome recommendations in Design of Service, and AI-assisted 2D and 3D model evaluation in RoxC and Auto Geosteering.</w:t>
      </w:r>
    </w:p>
    <w:p w14:paraId="180C240B" w14:textId="77777777" w:rsidR="00C45F4A" w:rsidRDefault="00000000">
      <w:pPr>
        <w:pStyle w:val="ListParagraph"/>
        <w:numPr>
          <w:ilvl w:val="0"/>
          <w:numId w:val="2"/>
        </w:numPr>
        <w:spacing w:after="35"/>
      </w:pPr>
      <w:r>
        <w:t>Gave design a direct voice in executive roadmap decisions by bringing research-backed UX priorities to quarterly Product Reviews, where Product Managers present roadmaps to executives and software management.</w:t>
      </w:r>
    </w:p>
    <w:p w14:paraId="24CF81DB" w14:textId="77777777" w:rsidR="00C45F4A" w:rsidRDefault="00000000">
      <w:pPr>
        <w:pStyle w:val="ListParagraph"/>
        <w:numPr>
          <w:ilvl w:val="0"/>
          <w:numId w:val="2"/>
        </w:numPr>
        <w:spacing w:after="35"/>
      </w:pPr>
      <w:r>
        <w:t>Cut completion time 33% and established a new standard workflow by designing and shipping Design of Service (DOS), which replaced a manual process spread across multiple external applications with one digitized platform for Country Managers, Technical Leads, and engineers scoping drilling bids, from research through a soft launch across 3 countries and 700 users.</w:t>
      </w:r>
    </w:p>
    <w:p w14:paraId="47B56974" w14:textId="77777777" w:rsidR="00C45F4A" w:rsidRDefault="00000000">
      <w:pPr>
        <w:pStyle w:val="ListParagraph"/>
        <w:numPr>
          <w:ilvl w:val="0"/>
          <w:numId w:val="2"/>
        </w:numPr>
        <w:spacing w:after="35"/>
      </w:pPr>
      <w:r>
        <w:t>Eliminated inconsistent, team-by-team UI work by architecting a token-based enterprise design system in Figma and building the pipeline that publishes it to Azure DevOps (ADO), giving engineering teams one shared source of truth across 5 product verticals.</w:t>
      </w:r>
    </w:p>
    <w:p w14:paraId="159B5824" w14:textId="77777777" w:rsidR="00C45F4A" w:rsidRDefault="00000000">
      <w:pPr>
        <w:keepNext/>
        <w:spacing w:before="100"/>
      </w:pPr>
      <w:r>
        <w:rPr>
          <w:b/>
          <w:bCs/>
          <w:sz w:val="22"/>
          <w:szCs w:val="22"/>
        </w:rPr>
        <w:t>Head of User Experience</w:t>
      </w:r>
    </w:p>
    <w:p w14:paraId="03911E1F" w14:textId="77777777" w:rsidR="00C45F4A" w:rsidRDefault="00000000">
      <w:pPr>
        <w:keepNext/>
        <w:spacing w:after="60"/>
      </w:pPr>
      <w:r>
        <w:rPr>
          <w:i/>
          <w:iCs/>
        </w:rPr>
        <w:t>Halliburton Landmark | Houston, TX | Nov 2021 - Oct 2024</w:t>
      </w:r>
    </w:p>
    <w:p w14:paraId="713D31D9" w14:textId="77777777" w:rsidR="00C45F4A" w:rsidRDefault="00000000">
      <w:pPr>
        <w:pStyle w:val="ListParagraph"/>
        <w:numPr>
          <w:ilvl w:val="0"/>
          <w:numId w:val="2"/>
        </w:numPr>
        <w:spacing w:after="35"/>
      </w:pPr>
      <w:r>
        <w:t>Led UX for a five-domain enterprise software business line spanning geoscience, drilling and well construction, reservoir, production, and E&amp;P data management.</w:t>
      </w:r>
    </w:p>
    <w:p w14:paraId="53AE4093" w14:textId="77777777" w:rsidR="00C45F4A" w:rsidRDefault="00000000">
      <w:pPr>
        <w:pStyle w:val="ListParagraph"/>
        <w:numPr>
          <w:ilvl w:val="0"/>
          <w:numId w:val="2"/>
        </w:numPr>
        <w:spacing w:after="35"/>
      </w:pPr>
      <w:r>
        <w:t>Gave all five domains embedded UX coverage by managing a seven-country team of up to 26 designers and 4 UI developers at peak, distributed across engineering teams, while directing people, process, and technical direction across concurrent workstreams.</w:t>
      </w:r>
    </w:p>
    <w:p w14:paraId="5EF03339" w14:textId="77777777" w:rsidR="00C45F4A" w:rsidRDefault="00000000">
      <w:pPr>
        <w:pStyle w:val="ListParagraph"/>
        <w:numPr>
          <w:ilvl w:val="0"/>
          <w:numId w:val="2"/>
        </w:numPr>
        <w:spacing w:after="35"/>
      </w:pPr>
      <w:r>
        <w:t>Developed design talent across a team that included many consultants, mentoring every designer and providing performance feedback to their employing firms; many advanced from Junior to Senior Designer, and one advanced from Senior Designer to Director.</w:t>
      </w:r>
    </w:p>
    <w:p w14:paraId="3FE9FA28" w14:textId="77777777" w:rsidR="00C45F4A" w:rsidRDefault="00000000">
      <w:pPr>
        <w:pStyle w:val="ListParagraph"/>
        <w:numPr>
          <w:ilvl w:val="0"/>
          <w:numId w:val="2"/>
        </w:numPr>
        <w:spacing w:after="35"/>
      </w:pPr>
      <w:r>
        <w:lastRenderedPageBreak/>
        <w:t>Cut design-to-development churn 25-40% and improved release predictability by standardizing and scaling the UX practice across all five domains, defining the research methodology, design standards, and development handoff playbook used by the engineering teams we supported.</w:t>
      </w:r>
    </w:p>
    <w:p w14:paraId="0E2EB251" w14:textId="77777777" w:rsidR="00C45F4A" w:rsidRDefault="00000000">
      <w:pPr>
        <w:pStyle w:val="ListParagraph"/>
        <w:numPr>
          <w:ilvl w:val="0"/>
          <w:numId w:val="2"/>
        </w:numPr>
        <w:spacing w:after="35"/>
      </w:pPr>
      <w:r>
        <w:t>Aligned the business line’s VP and the Directors of Product and Engineering on one UX roadmap, tech stack, and cross-domain integration approach through a biweekly forum, moving five domains toward one experience instead of five.</w:t>
      </w:r>
    </w:p>
    <w:p w14:paraId="307B827A" w14:textId="77777777" w:rsidR="00C45F4A" w:rsidRDefault="00000000">
      <w:pPr>
        <w:pStyle w:val="ListParagraph"/>
        <w:numPr>
          <w:ilvl w:val="0"/>
          <w:numId w:val="2"/>
        </w:numPr>
        <w:spacing w:after="35"/>
      </w:pPr>
      <w:r>
        <w:t>Delivered consistent, accessible experiences across five domains by standardizing design systems, accessibility (WCAG) practices, and workflow patterns.</w:t>
      </w:r>
    </w:p>
    <w:p w14:paraId="0D494CE1" w14:textId="77777777" w:rsidR="00C45F4A" w:rsidRDefault="00000000">
      <w:pPr>
        <w:keepNext/>
        <w:spacing w:before="100"/>
      </w:pPr>
      <w:r>
        <w:rPr>
          <w:b/>
          <w:bCs/>
          <w:sz w:val="22"/>
          <w:szCs w:val="22"/>
        </w:rPr>
        <w:t>Lead UX Designer</w:t>
      </w:r>
    </w:p>
    <w:p w14:paraId="5016FCF3" w14:textId="77777777" w:rsidR="00C45F4A" w:rsidRDefault="00000000">
      <w:pPr>
        <w:keepNext/>
        <w:spacing w:after="60"/>
      </w:pPr>
      <w:r>
        <w:rPr>
          <w:i/>
          <w:iCs/>
        </w:rPr>
        <w:t>Halliburton Landmark | Houston, TX | Jan 2014 - Nov 2021</w:t>
      </w:r>
    </w:p>
    <w:p w14:paraId="1CF2CC5F" w14:textId="77777777" w:rsidR="00C45F4A" w:rsidRDefault="00000000">
      <w:pPr>
        <w:pStyle w:val="ListParagraph"/>
        <w:numPr>
          <w:ilvl w:val="0"/>
          <w:numId w:val="2"/>
        </w:numPr>
        <w:spacing w:after="35"/>
      </w:pPr>
      <w:r>
        <w:t>Delivered UX for Landmark’s DecisionSpace portfolio, including Agile Asset Management (AAM), Digital Well Program (DWP), Real-Time Well Engineering (RTWE), and geoscience/geophysics applications, enabling subsurface interpretation, well planning, and real-time drilling decisions.</w:t>
      </w:r>
    </w:p>
    <w:p w14:paraId="2997270A" w14:textId="77777777" w:rsidR="00C45F4A" w:rsidRDefault="00000000">
      <w:pPr>
        <w:pStyle w:val="ListParagraph"/>
        <w:numPr>
          <w:ilvl w:val="0"/>
          <w:numId w:val="2"/>
        </w:numPr>
        <w:spacing w:after="35"/>
      </w:pPr>
      <w:r>
        <w:t>Enabled capital project, well construction, and real-time operational decisions across the asset lifecycle by designing workflows in partnership with product and engineering teams.</w:t>
      </w:r>
    </w:p>
    <w:p w14:paraId="26C16BE6" w14:textId="77777777" w:rsidR="00C45F4A" w:rsidRDefault="00000000">
      <w:pPr>
        <w:pStyle w:val="ListParagraph"/>
        <w:numPr>
          <w:ilvl w:val="0"/>
          <w:numId w:val="2"/>
        </w:numPr>
        <w:spacing w:after="35"/>
      </w:pPr>
      <w:r>
        <w:t>Practiced the research, design, and handoff methods hands-on that became the UX playbook, then co-led UX across the portfolio for three years before becoming Head of User Experience in Nov 2021.</w:t>
      </w:r>
    </w:p>
    <w:p w14:paraId="6555120C" w14:textId="77777777" w:rsidR="00C45F4A" w:rsidRDefault="00000000">
      <w:pPr>
        <w:keepNext/>
        <w:spacing w:before="100"/>
      </w:pPr>
      <w:r>
        <w:rPr>
          <w:b/>
          <w:bCs/>
          <w:sz w:val="22"/>
          <w:szCs w:val="22"/>
        </w:rPr>
        <w:t>Lead UX Designer</w:t>
      </w:r>
    </w:p>
    <w:p w14:paraId="0BA238BE" w14:textId="77777777" w:rsidR="00C45F4A" w:rsidRDefault="00000000">
      <w:pPr>
        <w:keepNext/>
        <w:spacing w:after="60"/>
      </w:pPr>
      <w:r>
        <w:rPr>
          <w:i/>
          <w:iCs/>
        </w:rPr>
        <w:t>Pearson | San Antonio, TX | Apr 2012 - Jan 2014</w:t>
      </w:r>
    </w:p>
    <w:p w14:paraId="69679774" w14:textId="77777777" w:rsidR="00C45F4A" w:rsidRDefault="00000000">
      <w:pPr>
        <w:pStyle w:val="ListParagraph"/>
        <w:numPr>
          <w:ilvl w:val="0"/>
          <w:numId w:val="2"/>
        </w:numPr>
        <w:spacing w:after="35"/>
      </w:pPr>
      <w:r>
        <w:t>Delivered design for two production assessment platforms, Q-Global and Q-Interactive, from concept through delivery, managing a UX/UI design team across concurrent workstreams.</w:t>
      </w:r>
    </w:p>
    <w:p w14:paraId="462A3374" w14:textId="77777777" w:rsidR="00C45F4A" w:rsidRDefault="00000000">
      <w:pPr>
        <w:pStyle w:val="ListParagraph"/>
        <w:numPr>
          <w:ilvl w:val="0"/>
          <w:numId w:val="2"/>
        </w:numPr>
        <w:spacing w:after="35"/>
      </w:pPr>
      <w:r>
        <w:t>Turned complex assessment workflows into user-centered, production-ready designs in partnership with business analysts and digital content developers.</w:t>
      </w:r>
    </w:p>
    <w:p w14:paraId="5C04BBB6" w14:textId="77777777" w:rsidR="00C45F4A" w:rsidRDefault="00000000">
      <w:pPr>
        <w:keepNext/>
        <w:spacing w:before="100"/>
      </w:pPr>
      <w:r>
        <w:rPr>
          <w:b/>
          <w:bCs/>
          <w:sz w:val="22"/>
          <w:szCs w:val="22"/>
        </w:rPr>
        <w:t>Lead UX Designer</w:t>
      </w:r>
    </w:p>
    <w:p w14:paraId="3CA21567" w14:textId="77777777" w:rsidR="00C45F4A" w:rsidRDefault="00000000">
      <w:pPr>
        <w:keepNext/>
        <w:spacing w:after="60"/>
      </w:pPr>
      <w:r>
        <w:rPr>
          <w:i/>
          <w:iCs/>
        </w:rPr>
        <w:t>Security Service Federal Credit Union | San Antonio, TX | Aug 2010 - Apr 2012</w:t>
      </w:r>
    </w:p>
    <w:p w14:paraId="311BD38E" w14:textId="77777777" w:rsidR="00C45F4A" w:rsidRDefault="00000000">
      <w:pPr>
        <w:pStyle w:val="ListParagraph"/>
        <w:numPr>
          <w:ilvl w:val="0"/>
          <w:numId w:val="2"/>
        </w:numPr>
        <w:spacing w:after="35"/>
      </w:pPr>
      <w:r>
        <w:t>Delivered end-to-end UX for SSFCU’s online and mobile banking platforms, owning research, testing, design, and implementation across all stages of development.</w:t>
      </w:r>
    </w:p>
    <w:p w14:paraId="138FBED6" w14:textId="77777777" w:rsidR="00C45F4A" w:rsidRDefault="00000000">
      <w:pPr>
        <w:pStyle w:val="ListParagraph"/>
        <w:numPr>
          <w:ilvl w:val="0"/>
          <w:numId w:val="2"/>
        </w:numPr>
        <w:spacing w:after="35"/>
      </w:pPr>
      <w:r>
        <w:t>Aligned UX deliverables with business goals and shipped consumer-facing designs for core banking workflows used by SSFCU’s members, in coordination with product and marketing teams.</w:t>
      </w:r>
    </w:p>
    <w:p w14:paraId="0C98DFD4" w14:textId="77777777" w:rsidR="00C45F4A" w:rsidRDefault="00000000">
      <w:pPr>
        <w:keepNext/>
        <w:spacing w:before="100"/>
      </w:pPr>
      <w:r>
        <w:rPr>
          <w:b/>
          <w:bCs/>
          <w:sz w:val="22"/>
          <w:szCs w:val="22"/>
        </w:rPr>
        <w:t>Manager, UX &amp; Web Development</w:t>
      </w:r>
    </w:p>
    <w:p w14:paraId="5FCF7173" w14:textId="77777777" w:rsidR="00C45F4A" w:rsidRDefault="00000000">
      <w:pPr>
        <w:keepNext/>
        <w:spacing w:after="60"/>
      </w:pPr>
      <w:r>
        <w:rPr>
          <w:i/>
          <w:iCs/>
        </w:rPr>
        <w:t>UT Health San Antonio | San Antonio, TX | Oct 2004 - Aug 2010</w:t>
      </w:r>
    </w:p>
    <w:p w14:paraId="344033C7" w14:textId="77777777" w:rsidR="00C45F4A" w:rsidRDefault="00000000">
      <w:pPr>
        <w:pStyle w:val="ListParagraph"/>
        <w:numPr>
          <w:ilvl w:val="0"/>
          <w:numId w:val="2"/>
        </w:numPr>
        <w:spacing w:after="35"/>
      </w:pPr>
      <w:r>
        <w:t>Delivered user-centered web experiences for the School of Medicine Dean’s Office and multiple operational and clinical departments by leading UX/UI design and development.</w:t>
      </w:r>
    </w:p>
    <w:p w14:paraId="1E0F1B75" w14:textId="77777777" w:rsidR="00C45F4A" w:rsidRDefault="00000000">
      <w:pPr>
        <w:pStyle w:val="ListParagraph"/>
        <w:numPr>
          <w:ilvl w:val="0"/>
          <w:numId w:val="2"/>
        </w:numPr>
        <w:spacing w:after="35"/>
      </w:pPr>
      <w:r>
        <w:t>Supported web content management across School of Medicine departments and centers through day-to-day process management.</w:t>
      </w:r>
    </w:p>
    <w:p w14:paraId="449D19E4" w14:textId="77777777" w:rsidR="00C45F4A" w:rsidRDefault="00000000">
      <w:pPr>
        <w:keepNext/>
        <w:spacing w:before="100"/>
      </w:pPr>
      <w:r>
        <w:rPr>
          <w:b/>
          <w:bCs/>
          <w:sz w:val="22"/>
          <w:szCs w:val="22"/>
        </w:rPr>
        <w:t>Manager, UI Design</w:t>
      </w:r>
    </w:p>
    <w:p w14:paraId="59F7171E" w14:textId="77777777" w:rsidR="00C45F4A" w:rsidRDefault="00000000">
      <w:pPr>
        <w:keepNext/>
        <w:spacing w:after="60"/>
      </w:pPr>
      <w:r>
        <w:rPr>
          <w:i/>
          <w:iCs/>
        </w:rPr>
        <w:t>Texas Management Associates, Inc. | San Antonio, TX | Oct 1998 - Oct 2004</w:t>
      </w:r>
    </w:p>
    <w:p w14:paraId="773ECB30" w14:textId="77777777" w:rsidR="00C45F4A" w:rsidRDefault="00000000">
      <w:pPr>
        <w:pStyle w:val="ListParagraph"/>
        <w:numPr>
          <w:ilvl w:val="0"/>
          <w:numId w:val="2"/>
        </w:numPr>
        <w:spacing w:after="35"/>
      </w:pPr>
      <w:r>
        <w:t>Led a team of UI designers as site manager at Lackland AFB, delivering the training software and web applications used by the 37th TRSS Advanced Training Technology (ATT) wing.</w:t>
      </w:r>
    </w:p>
    <w:p w14:paraId="3F05E2DA" w14:textId="77777777" w:rsidR="00C45F4A" w:rsidRDefault="00000000">
      <w:pPr>
        <w:pBdr>
          <w:bottom w:val="single" w:sz="6" w:space="1" w:color="444444"/>
        </w:pBdr>
        <w:spacing w:before="150" w:after="60"/>
      </w:pPr>
      <w:r>
        <w:rPr>
          <w:b/>
          <w:bCs/>
          <w:sz w:val="22"/>
          <w:szCs w:val="22"/>
        </w:rPr>
        <w:t>EDUCATION</w:t>
      </w:r>
    </w:p>
    <w:p w14:paraId="5FDCAD1F" w14:textId="77777777" w:rsidR="00C45F4A" w:rsidRDefault="00000000">
      <w:pPr>
        <w:spacing w:after="20"/>
      </w:pPr>
      <w:r>
        <w:t>Master of Education, Educational Technology, University of Texas at Brownsville</w:t>
      </w:r>
    </w:p>
    <w:p w14:paraId="2FEA55A1" w14:textId="77777777" w:rsidR="00C45F4A" w:rsidRDefault="00000000">
      <w:pPr>
        <w:spacing w:after="20"/>
      </w:pPr>
      <w:r>
        <w:t>Bachelor of Science, Computer Science, Park University</w:t>
      </w:r>
    </w:p>
    <w:p w14:paraId="4BE3D362" w14:textId="77777777" w:rsidR="00C45F4A" w:rsidRDefault="00000000">
      <w:pPr>
        <w:spacing w:after="60"/>
      </w:pPr>
      <w:r>
        <w:t>Associate of Arts, Graphic &amp; Multimedia Design, Texas State Technical College</w:t>
      </w:r>
    </w:p>
    <w:p w14:paraId="7E3144E4" w14:textId="77777777" w:rsidR="00C45F4A" w:rsidRDefault="00000000">
      <w:pPr>
        <w:pBdr>
          <w:bottom w:val="single" w:sz="6" w:space="1" w:color="444444"/>
        </w:pBdr>
        <w:spacing w:before="150" w:after="60"/>
      </w:pPr>
      <w:r>
        <w:rPr>
          <w:b/>
          <w:bCs/>
          <w:sz w:val="22"/>
          <w:szCs w:val="22"/>
        </w:rPr>
        <w:t>TECHNICAL PROFICIENCIES</w:t>
      </w:r>
    </w:p>
    <w:p w14:paraId="432CED6B" w14:textId="77777777" w:rsidR="00C45F4A" w:rsidRDefault="00000000">
      <w:pPr>
        <w:spacing w:after="30"/>
      </w:pPr>
      <w:r>
        <w:rPr>
          <w:b/>
          <w:bCs/>
        </w:rPr>
        <w:t xml:space="preserve">Design &amp; Collaboration: </w:t>
      </w:r>
      <w:r>
        <w:t>Figma, FigJam, Miro, Sketch, Adobe Creative Cloud</w:t>
      </w:r>
    </w:p>
    <w:p w14:paraId="2D9CEED3" w14:textId="77777777" w:rsidR="00C45F4A" w:rsidRDefault="00000000">
      <w:pPr>
        <w:spacing w:after="30"/>
      </w:pPr>
      <w:r>
        <w:rPr>
          <w:b/>
          <w:bCs/>
        </w:rPr>
        <w:t xml:space="preserve">Design Systems: </w:t>
      </w:r>
      <w:r>
        <w:t>Design Tokens (Style Dictionary, Token Studio), Storybook</w:t>
      </w:r>
    </w:p>
    <w:p w14:paraId="7882DD08" w14:textId="77777777" w:rsidR="00C45F4A" w:rsidRDefault="00000000">
      <w:pPr>
        <w:spacing w:after="30"/>
      </w:pPr>
      <w:r>
        <w:rPr>
          <w:b/>
          <w:bCs/>
        </w:rPr>
        <w:t xml:space="preserve">Delivery &amp; Analytics: </w:t>
      </w:r>
      <w:r>
        <w:t>Azure DevOps (ADO, Boards), GitHub, Jira, Confluence, Notion, Google Analytics, Grafana</w:t>
      </w:r>
    </w:p>
    <w:p w14:paraId="4F666794" w14:textId="77777777" w:rsidR="00C45F4A" w:rsidRDefault="00000000">
      <w:pPr>
        <w:spacing w:after="30"/>
      </w:pPr>
      <w:r>
        <w:rPr>
          <w:b/>
          <w:bCs/>
        </w:rPr>
        <w:t xml:space="preserve">AI: </w:t>
      </w:r>
      <w:r>
        <w:t>Claude API, GitHub Copilot Agent, ChatGPT, Gemini, Lovable</w:t>
      </w:r>
    </w:p>
    <w:p w14:paraId="26A0735B" w14:textId="77777777" w:rsidR="00C45F4A" w:rsidRDefault="00000000">
      <w:r>
        <w:rPr>
          <w:b/>
          <w:bCs/>
        </w:rPr>
        <w:t xml:space="preserve">Methods: </w:t>
      </w:r>
      <w:r>
        <w:t>Design Thinking, Lean UX, Systems Thinking, Jobs-to-be-Done, OKRs, DesignOps</w:t>
      </w:r>
    </w:p>
    <w:sectPr w:rsidR="00C45F4A">
      <w:pgSz w:w="12240" w:h="15840"/>
      <w:pgMar w:top="640" w:right="900" w:bottom="64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157D"/>
    <w:multiLevelType w:val="hybridMultilevel"/>
    <w:tmpl w:val="C678742C"/>
    <w:lvl w:ilvl="0" w:tplc="4D424C94">
      <w:start w:val="1"/>
      <w:numFmt w:val="bullet"/>
      <w:lvlText w:val="●"/>
      <w:lvlJc w:val="left"/>
      <w:pPr>
        <w:ind w:left="720" w:hanging="360"/>
      </w:pPr>
    </w:lvl>
    <w:lvl w:ilvl="1" w:tplc="22B26D00">
      <w:start w:val="1"/>
      <w:numFmt w:val="bullet"/>
      <w:lvlText w:val="○"/>
      <w:lvlJc w:val="left"/>
      <w:pPr>
        <w:ind w:left="1440" w:hanging="360"/>
      </w:pPr>
    </w:lvl>
    <w:lvl w:ilvl="2" w:tplc="321CDC56">
      <w:start w:val="1"/>
      <w:numFmt w:val="bullet"/>
      <w:lvlText w:val="■"/>
      <w:lvlJc w:val="left"/>
      <w:pPr>
        <w:ind w:left="2160" w:hanging="360"/>
      </w:pPr>
    </w:lvl>
    <w:lvl w:ilvl="3" w:tplc="715C75CC">
      <w:start w:val="1"/>
      <w:numFmt w:val="bullet"/>
      <w:lvlText w:val="●"/>
      <w:lvlJc w:val="left"/>
      <w:pPr>
        <w:ind w:left="2880" w:hanging="360"/>
      </w:pPr>
    </w:lvl>
    <w:lvl w:ilvl="4" w:tplc="B35A3B4E">
      <w:start w:val="1"/>
      <w:numFmt w:val="bullet"/>
      <w:lvlText w:val="○"/>
      <w:lvlJc w:val="left"/>
      <w:pPr>
        <w:ind w:left="3600" w:hanging="360"/>
      </w:pPr>
    </w:lvl>
    <w:lvl w:ilvl="5" w:tplc="B1A8E6E6">
      <w:start w:val="1"/>
      <w:numFmt w:val="bullet"/>
      <w:lvlText w:val="■"/>
      <w:lvlJc w:val="left"/>
      <w:pPr>
        <w:ind w:left="4320" w:hanging="360"/>
      </w:pPr>
    </w:lvl>
    <w:lvl w:ilvl="6" w:tplc="A3C40930">
      <w:start w:val="1"/>
      <w:numFmt w:val="bullet"/>
      <w:lvlText w:val="●"/>
      <w:lvlJc w:val="left"/>
      <w:pPr>
        <w:ind w:left="5040" w:hanging="360"/>
      </w:pPr>
    </w:lvl>
    <w:lvl w:ilvl="7" w:tplc="F99A414A">
      <w:start w:val="1"/>
      <w:numFmt w:val="bullet"/>
      <w:lvlText w:val="●"/>
      <w:lvlJc w:val="left"/>
      <w:pPr>
        <w:ind w:left="5760" w:hanging="360"/>
      </w:pPr>
    </w:lvl>
    <w:lvl w:ilvl="8" w:tplc="1742B0AA">
      <w:start w:val="1"/>
      <w:numFmt w:val="bullet"/>
      <w:lvlText w:val="●"/>
      <w:lvlJc w:val="left"/>
      <w:pPr>
        <w:ind w:left="6480" w:hanging="360"/>
      </w:pPr>
    </w:lvl>
  </w:abstractNum>
  <w:abstractNum w:abstractNumId="1" w15:restartNumberingAfterBreak="0">
    <w:nsid w:val="40C15B8F"/>
    <w:multiLevelType w:val="hybridMultilevel"/>
    <w:tmpl w:val="AB94D25C"/>
    <w:lvl w:ilvl="0" w:tplc="D22091BA">
      <w:start w:val="1"/>
      <w:numFmt w:val="bullet"/>
      <w:lvlText w:val="•"/>
      <w:lvlJc w:val="left"/>
      <w:pPr>
        <w:ind w:left="360" w:hanging="260"/>
      </w:pPr>
    </w:lvl>
    <w:lvl w:ilvl="1" w:tplc="3684AC74">
      <w:numFmt w:val="decimal"/>
      <w:lvlText w:val=""/>
      <w:lvlJc w:val="left"/>
    </w:lvl>
    <w:lvl w:ilvl="2" w:tplc="825A44C4">
      <w:numFmt w:val="decimal"/>
      <w:lvlText w:val=""/>
      <w:lvlJc w:val="left"/>
    </w:lvl>
    <w:lvl w:ilvl="3" w:tplc="6C487550">
      <w:numFmt w:val="decimal"/>
      <w:lvlText w:val=""/>
      <w:lvlJc w:val="left"/>
    </w:lvl>
    <w:lvl w:ilvl="4" w:tplc="F1668C00">
      <w:numFmt w:val="decimal"/>
      <w:lvlText w:val=""/>
      <w:lvlJc w:val="left"/>
    </w:lvl>
    <w:lvl w:ilvl="5" w:tplc="560A4232">
      <w:numFmt w:val="decimal"/>
      <w:lvlText w:val=""/>
      <w:lvlJc w:val="left"/>
    </w:lvl>
    <w:lvl w:ilvl="6" w:tplc="DBB8A810">
      <w:numFmt w:val="decimal"/>
      <w:lvlText w:val=""/>
      <w:lvlJc w:val="left"/>
    </w:lvl>
    <w:lvl w:ilvl="7" w:tplc="DB20105E">
      <w:numFmt w:val="decimal"/>
      <w:lvlText w:val=""/>
      <w:lvlJc w:val="left"/>
    </w:lvl>
    <w:lvl w:ilvl="8" w:tplc="4CC8E478">
      <w:numFmt w:val="decimal"/>
      <w:lvlText w:val=""/>
      <w:lvlJc w:val="left"/>
    </w:lvl>
  </w:abstractNum>
  <w:num w:numId="1" w16cid:durableId="1901476120">
    <w:abstractNumId w:val="0"/>
    <w:lvlOverride w:ilvl="0">
      <w:startOverride w:val="1"/>
    </w:lvlOverride>
  </w:num>
  <w:num w:numId="2" w16cid:durableId="125504554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F4A"/>
    <w:rsid w:val="001A265F"/>
    <w:rsid w:val="00391998"/>
    <w:rsid w:val="006F17C8"/>
    <w:rsid w:val="00A31638"/>
    <w:rsid w:val="00BD6DFF"/>
    <w:rsid w:val="00C45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6506"/>
  <w15:docId w15:val="{3BE87AA6-D062-453D-9FC6-B3770249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91998"/>
    <w:rPr>
      <w:color w:val="605E5C"/>
      <w:shd w:val="clear" w:color="auto" w:fill="E1DFDD"/>
    </w:rPr>
  </w:style>
  <w:style w:type="character" w:styleId="FollowedHyperlink">
    <w:name w:val="FollowedHyperlink"/>
    <w:basedOn w:val="DefaultParagraphFont"/>
    <w:uiPriority w:val="99"/>
    <w:semiHidden/>
    <w:unhideWhenUsed/>
    <w:rsid w:val="0039199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impresleyu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edin.com/in/tim-presley-6a133514" TargetMode="External"/><Relationship Id="rId5" Type="http://schemas.openxmlformats.org/officeDocument/2006/relationships/hyperlink" Target="mailto:tpresley1764@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1169</Words>
  <Characters>6667</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 Presley Resume</dc:title>
  <dc:creator>Tim Presley</dc:creator>
  <cp:lastModifiedBy>Tim Presley</cp:lastModifiedBy>
  <cp:revision>5</cp:revision>
  <dcterms:created xsi:type="dcterms:W3CDTF">2026-10-07T20:37:00Z</dcterms:created>
  <dcterms:modified xsi:type="dcterms:W3CDTF">2026-10-08T13:28:00Z</dcterms:modified>
</cp:coreProperties>
</file>